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</w:t>
            </w:r>
            <w:bookmarkStart w:id="0" w:name="_GoBack"/>
            <w:bookmarkEnd w:id="0"/>
            <w:r w:rsidR="0043287C">
              <w:rPr>
                <w:b/>
                <w:color w:val="000000"/>
                <w:spacing w:val="8"/>
              </w:rPr>
              <w:t>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767E26" w:rsidRDefault="00767E26" w:rsidP="00767E26">
      <w:pPr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Уголовная ответственность за коммерческий подкуп</w:t>
      </w:r>
    </w:p>
    <w:p w:rsidR="00767E26" w:rsidRDefault="00767E26" w:rsidP="00767E26">
      <w:pPr>
        <w:contextualSpacing/>
        <w:jc w:val="both"/>
        <w:rPr>
          <w:color w:val="000000" w:themeColor="text1"/>
        </w:rPr>
      </w:pP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со статьей 204 УК РФ коммерческим подкупом является незаконная передача лицу, выполняющему управленческие функции </w:t>
      </w:r>
      <w:r>
        <w:rPr>
          <w:color w:val="000000" w:themeColor="text1"/>
        </w:rPr>
        <w:br/>
        <w:t xml:space="preserve">в коммерческой или иной организации, денег, ценных бумаг, иного имущества, </w:t>
      </w:r>
      <w:r>
        <w:rPr>
          <w:color w:val="000000" w:themeColor="text1"/>
        </w:rPr>
        <w:br/>
        <w:t>а также незаконное оказание ему услуг имущественного характера либо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Ответственность за коммерческий подкуп наступает также в случае получения лицом, выполняющим управленческие функции в коммерческой или иной организации, указанного имущества за совершение действий (бездействие) </w:t>
      </w:r>
      <w:r>
        <w:rPr>
          <w:color w:val="000000" w:themeColor="text1"/>
        </w:rPr>
        <w:br/>
        <w:t>в интересах дающего или иных лиц.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Примером коммерческого подкупа может выступать ситуация, когда гражданин передает незаконное денежное вознаграждение руководителю коммерческой организации (например, директору) за внесение в трудовую книжку недостоверных сведений об осуществлении им трудовой деятельности в обозначенной организации.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Ответственность за коммерческий подкуп дифференцируется в зависимости от размера коммерческого подкупа: в размере, не превышающем 10 тыс. руб. (мелкий коммерческий подкуп, статья 204.2 УК РФ); в значительном размере (сумма денег, стоимость ценных бумаг, иного имущества, услуг имущественного характера, иных имущественных прав, превышающие 25 тыс. руб.); в крупном размере (превышающий 150 тыс. руб.); в особо крупном размере (превышающий 1 млн руб.).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Санкцией статьи 204 УК РФ предусмотрено максимальное наказание </w:t>
      </w:r>
      <w:r>
        <w:rPr>
          <w:color w:val="000000" w:themeColor="text1"/>
        </w:rPr>
        <w:br/>
        <w:t>за совершение данного преступления в виде штрафа в размере от 2 до 5 млн. руб.</w:t>
      </w:r>
    </w:p>
    <w:p w:rsidR="00767E26" w:rsidRDefault="00767E26" w:rsidP="00767E26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примечанием к статье 204 УК РФ лицо, совершившее преступление, предусмотренное частями 1 – 4 названной статьи, освобождается от уголовной ответственности, если оно активно способствовало раскрытию </w:t>
      </w:r>
      <w:r>
        <w:rPr>
          <w:color w:val="000000" w:themeColor="text1"/>
        </w:rPr>
        <w:br/>
        <w:t xml:space="preserve">и (или) расследованию преступления, либо в отношении его имело место вымогательство предмета подкупа, либо это лицо добровольно сообщило </w:t>
      </w:r>
      <w:r>
        <w:rPr>
          <w:color w:val="000000" w:themeColor="text1"/>
        </w:rPr>
        <w:br/>
        <w:t>о совершенном преступлении в орган, имеющий право возбудить уголовное дело.</w:t>
      </w:r>
    </w:p>
    <w:p w:rsidR="00DD56C5" w:rsidRDefault="00DD56C5" w:rsidP="00796B22">
      <w:pPr>
        <w:ind w:firstLine="709"/>
        <w:contextualSpacing/>
        <w:jc w:val="both"/>
      </w:pPr>
    </w:p>
    <w:p w:rsidR="00767E26" w:rsidRDefault="00767E26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E0722A" w:rsidRDefault="0097374F" w:rsidP="00C13C6D">
      <w:pPr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sectPr w:rsidR="00E0722A" w:rsidSect="00C13C6D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13C6D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B2255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23</cp:revision>
  <cp:lastPrinted>2024-05-27T09:25:00Z</cp:lastPrinted>
  <dcterms:created xsi:type="dcterms:W3CDTF">2024-04-14T21:32:00Z</dcterms:created>
  <dcterms:modified xsi:type="dcterms:W3CDTF">2024-12-25T07:19:00Z</dcterms:modified>
</cp:coreProperties>
</file>